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Nightintales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infinite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Nightintales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Keisha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Maintenance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Keisha Cogdell,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Keisha Cogdell,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phlebotomist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pediatric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Keisha Cogdell,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appointment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dismantling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perseverance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pediatric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Keisha Cogdell,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intricates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disseminate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Keisha Cogdell,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poisoning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poisoning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hazardous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hazard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poisoning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poisoning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juvenile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poisoning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admittedly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Keisha Cogdell,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telephonically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Keisha Cogdell,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pipeline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reiterate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magazine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AONL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parallels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Keisha Cogdell,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distinguish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telephonic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telephonic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hybrid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poisoning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poisoning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vitamin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insecurities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Keisha Cogdell,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preeclampsia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incarcerated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Keisha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enlightened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Keisha Cogdell,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Keisha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Maintenance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Keisha Cogdell,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Nightintales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Cogdell (Completed  04/08/22)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15,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tnqSyivM3b-7Kz7BuSWAmnbgja3izrAQ8OcAn9_vk_4UfgNtBBZjB9Wpyq45X2iV7k4Yd6mqd4HUZ03BnT6D73jItF8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